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 xml:space="preserve">EASD-retningslinje for anvendelse af kontinuerlig glukosemonitorering ved type 2-diabetes: protokol for systematisk </w:t>
      </w:r>
      <w:proofErr w:type="spellStart"/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review</w:t>
      </w:r>
      <w:proofErr w:type="spellEnd"/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 xml:space="preserve"> og </w:t>
      </w:r>
      <w:proofErr w:type="spellStart"/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meta</w:t>
      </w:r>
      <w:proofErr w:type="spellEnd"/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-analyse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Aris </w:t>
      </w:r>
      <w:proofErr w:type="spellStart"/>
      <w:r w:rsidRPr="00A225B2">
        <w:rPr>
          <w:rFonts w:ascii="Times New Roman" w:hAnsi="Times New Roman"/>
          <w:sz w:val="24"/>
          <w:szCs w:val="24"/>
        </w:rPr>
        <w:t>Liakos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Ioannis </w:t>
      </w:r>
      <w:proofErr w:type="spellStart"/>
      <w:r w:rsidRPr="00A225B2">
        <w:rPr>
          <w:rFonts w:ascii="Times New Roman" w:hAnsi="Times New Roman"/>
          <w:sz w:val="24"/>
          <w:szCs w:val="24"/>
        </w:rPr>
        <w:t>Avgerinos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Fani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Apostolidou-Kiouti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Konstantinos </w:t>
      </w:r>
      <w:proofErr w:type="spellStart"/>
      <w:r w:rsidRPr="00A225B2">
        <w:rPr>
          <w:rFonts w:ascii="Times New Roman" w:hAnsi="Times New Roman"/>
          <w:sz w:val="24"/>
          <w:szCs w:val="24"/>
        </w:rPr>
        <w:t>Malandris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Kalliopi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Tsapa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Dimitra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Tsapa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Thomas </w:t>
      </w:r>
      <w:proofErr w:type="spellStart"/>
      <w:r w:rsidRPr="00A225B2">
        <w:rPr>
          <w:rFonts w:ascii="Times New Roman" w:hAnsi="Times New Roman"/>
          <w:sz w:val="24"/>
          <w:szCs w:val="24"/>
        </w:rPr>
        <w:t>Karagiannis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Eleni </w:t>
      </w:r>
      <w:proofErr w:type="spellStart"/>
      <w:r w:rsidRPr="00A225B2">
        <w:rPr>
          <w:rFonts w:ascii="Times New Roman" w:hAnsi="Times New Roman"/>
          <w:sz w:val="24"/>
          <w:szCs w:val="24"/>
        </w:rPr>
        <w:t>Bekiari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Lia </w:t>
      </w:r>
      <w:proofErr w:type="spellStart"/>
      <w:r w:rsidRPr="00A225B2">
        <w:rPr>
          <w:rFonts w:ascii="Times New Roman" w:hAnsi="Times New Roman"/>
          <w:sz w:val="24"/>
          <w:szCs w:val="24"/>
        </w:rPr>
        <w:t>Bally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Charlotte </w:t>
      </w:r>
      <w:proofErr w:type="spellStart"/>
      <w:r w:rsidRPr="00A225B2">
        <w:rPr>
          <w:rFonts w:ascii="Times New Roman" w:hAnsi="Times New Roman"/>
          <w:sz w:val="24"/>
          <w:szCs w:val="24"/>
        </w:rPr>
        <w:t>Boughton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Oliwia Kaczmarek, Valentina </w:t>
      </w:r>
      <w:proofErr w:type="spellStart"/>
      <w:r w:rsidRPr="00A225B2">
        <w:rPr>
          <w:rFonts w:ascii="Times New Roman" w:hAnsi="Times New Roman"/>
          <w:sz w:val="24"/>
          <w:szCs w:val="24"/>
        </w:rPr>
        <w:t>Lorenzoni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Nick Oliver, Christian Petersen, Harald </w:t>
      </w:r>
      <w:proofErr w:type="spellStart"/>
      <w:r w:rsidRPr="00A225B2">
        <w:rPr>
          <w:rFonts w:ascii="Times New Roman" w:hAnsi="Times New Roman"/>
          <w:sz w:val="24"/>
          <w:szCs w:val="24"/>
        </w:rPr>
        <w:t>Sourij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Francesco </w:t>
      </w:r>
      <w:proofErr w:type="spellStart"/>
      <w:r w:rsidRPr="00A225B2">
        <w:rPr>
          <w:rFonts w:ascii="Times New Roman" w:hAnsi="Times New Roman"/>
          <w:sz w:val="24"/>
          <w:szCs w:val="24"/>
        </w:rPr>
        <w:t>Zaccardi</w:t>
      </w:r>
      <w:proofErr w:type="spellEnd"/>
      <w:r w:rsidRPr="00A225B2">
        <w:rPr>
          <w:rFonts w:ascii="Times New Roman" w:hAnsi="Times New Roman"/>
          <w:sz w:val="24"/>
          <w:szCs w:val="24"/>
        </w:rPr>
        <w:t>, Amanda Adler, Melanie Davies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Reference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Aris </w:t>
      </w:r>
      <w:proofErr w:type="spellStart"/>
      <w:r w:rsidRPr="00A225B2">
        <w:rPr>
          <w:rFonts w:ascii="Times New Roman" w:hAnsi="Times New Roman"/>
          <w:sz w:val="24"/>
          <w:szCs w:val="24"/>
        </w:rPr>
        <w:t>Liakos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Ioannis </w:t>
      </w:r>
      <w:proofErr w:type="spellStart"/>
      <w:r w:rsidRPr="00A225B2">
        <w:rPr>
          <w:rFonts w:ascii="Times New Roman" w:hAnsi="Times New Roman"/>
          <w:sz w:val="24"/>
          <w:szCs w:val="24"/>
        </w:rPr>
        <w:t>Avgerinos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Fani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Apostolidou-Kiouti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Konstantinos </w:t>
      </w:r>
      <w:proofErr w:type="spellStart"/>
      <w:r w:rsidRPr="00A225B2">
        <w:rPr>
          <w:rFonts w:ascii="Times New Roman" w:hAnsi="Times New Roman"/>
          <w:sz w:val="24"/>
          <w:szCs w:val="24"/>
        </w:rPr>
        <w:t>Malandris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Kalliopi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Tsapa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Dimitra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Tsapa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Thomas </w:t>
      </w:r>
      <w:proofErr w:type="spellStart"/>
      <w:r w:rsidRPr="00A225B2">
        <w:rPr>
          <w:rFonts w:ascii="Times New Roman" w:hAnsi="Times New Roman"/>
          <w:sz w:val="24"/>
          <w:szCs w:val="24"/>
        </w:rPr>
        <w:t>Karagiannis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Eleni </w:t>
      </w:r>
      <w:proofErr w:type="spellStart"/>
      <w:r w:rsidRPr="00A225B2">
        <w:rPr>
          <w:rFonts w:ascii="Times New Roman" w:hAnsi="Times New Roman"/>
          <w:sz w:val="24"/>
          <w:szCs w:val="24"/>
        </w:rPr>
        <w:t>Bekiari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Lia </w:t>
      </w:r>
      <w:proofErr w:type="spellStart"/>
      <w:r w:rsidRPr="00A225B2">
        <w:rPr>
          <w:rFonts w:ascii="Times New Roman" w:hAnsi="Times New Roman"/>
          <w:sz w:val="24"/>
          <w:szCs w:val="24"/>
        </w:rPr>
        <w:t>Bally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Charlotte </w:t>
      </w:r>
      <w:proofErr w:type="spellStart"/>
      <w:r w:rsidRPr="00A225B2">
        <w:rPr>
          <w:rFonts w:ascii="Times New Roman" w:hAnsi="Times New Roman"/>
          <w:sz w:val="24"/>
          <w:szCs w:val="24"/>
        </w:rPr>
        <w:t>Boughton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Oliwia Kaczmarek, Valentina </w:t>
      </w:r>
      <w:proofErr w:type="spellStart"/>
      <w:r w:rsidRPr="00A225B2">
        <w:rPr>
          <w:rFonts w:ascii="Times New Roman" w:hAnsi="Times New Roman"/>
          <w:sz w:val="24"/>
          <w:szCs w:val="24"/>
        </w:rPr>
        <w:t>Lorenzoni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Nick Oliver, Christian Petersen, Harald </w:t>
      </w:r>
      <w:proofErr w:type="spellStart"/>
      <w:r w:rsidRPr="00A225B2">
        <w:rPr>
          <w:rFonts w:ascii="Times New Roman" w:hAnsi="Times New Roman"/>
          <w:sz w:val="24"/>
          <w:szCs w:val="24"/>
        </w:rPr>
        <w:t>Sourij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Francesco </w:t>
      </w:r>
      <w:proofErr w:type="spellStart"/>
      <w:r w:rsidRPr="00A225B2">
        <w:rPr>
          <w:rFonts w:ascii="Times New Roman" w:hAnsi="Times New Roman"/>
          <w:sz w:val="24"/>
          <w:szCs w:val="24"/>
        </w:rPr>
        <w:t>Zaccardi</w:t>
      </w:r>
      <w:proofErr w:type="spellEnd"/>
      <w:r w:rsidRPr="00A225B2">
        <w:rPr>
          <w:rFonts w:ascii="Times New Roman" w:hAnsi="Times New Roman"/>
          <w:sz w:val="24"/>
          <w:szCs w:val="24"/>
        </w:rPr>
        <w:t>, Amanda Adler, Melanie Davies.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EASD-retningslinje for anvendelse af kontinuerlig glukosemonitorering ved type 2-diabetes: protokol for systematisk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A225B2">
        <w:rPr>
          <w:rFonts w:ascii="Times New Roman" w:hAnsi="Times New Roman"/>
          <w:sz w:val="24"/>
          <w:szCs w:val="24"/>
        </w:rPr>
        <w:t>meta</w:t>
      </w:r>
      <w:proofErr w:type="spellEnd"/>
      <w:r w:rsidRPr="00A225B2">
        <w:rPr>
          <w:rFonts w:ascii="Times New Roman" w:hAnsi="Times New Roman"/>
          <w:sz w:val="24"/>
          <w:szCs w:val="24"/>
        </w:rPr>
        <w:t>-analyse.</w:t>
      </w:r>
    </w:p>
    <w:p w:rsid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PROSPERO 2025 CRD420251237934.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Tilgængelig på: </w:t>
      </w:r>
      <w:hyperlink r:id="rId5" w:history="1">
        <w:r w:rsidRPr="00A225B2">
          <w:rPr>
            <w:rStyle w:val="Hyperlink"/>
            <w:rFonts w:ascii="Times New Roman" w:hAnsi="Times New Roman"/>
            <w:sz w:val="24"/>
            <w:szCs w:val="24"/>
          </w:rPr>
          <w:t>https://www.crd.york.ac.uk/P</w:t>
        </w:r>
        <w:r w:rsidRPr="00A225B2">
          <w:rPr>
            <w:rStyle w:val="Hyperlink"/>
            <w:rFonts w:ascii="Times New Roman" w:hAnsi="Times New Roman"/>
            <w:sz w:val="24"/>
            <w:szCs w:val="24"/>
          </w:rPr>
          <w:t>R</w:t>
        </w:r>
        <w:r w:rsidRPr="00A225B2">
          <w:rPr>
            <w:rStyle w:val="Hyperlink"/>
            <w:rFonts w:ascii="Times New Roman" w:hAnsi="Times New Roman"/>
            <w:sz w:val="24"/>
            <w:szCs w:val="24"/>
          </w:rPr>
          <w:t>OSPERO/view/CRD420251237934</w:t>
        </w:r>
      </w:hyperlink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00B0F0"/>
          <w:sz w:val="24"/>
          <w:szCs w:val="24"/>
        </w:rPr>
        <w:t>TITEL OG BASISOPLYSNINGER FOR REVIEWET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Reviewtitel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EASD-retningslinje for anvendelse af kontinuerlig glukosemonitorering ved type 2-diabetes: protokol for systematisk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A225B2">
        <w:rPr>
          <w:rFonts w:ascii="Times New Roman" w:hAnsi="Times New Roman"/>
          <w:sz w:val="24"/>
          <w:szCs w:val="24"/>
        </w:rPr>
        <w:t>meta</w:t>
      </w:r>
      <w:proofErr w:type="spellEnd"/>
      <w:r w:rsidRPr="00A225B2">
        <w:rPr>
          <w:rFonts w:ascii="Times New Roman" w:hAnsi="Times New Roman"/>
          <w:sz w:val="24"/>
          <w:szCs w:val="24"/>
        </w:rPr>
        <w:t>-analyse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Tilstand eller område, der undersøges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Type 2-diabetes mellitus; blodsukkermåling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auto"/>
          <w:sz w:val="24"/>
          <w:szCs w:val="24"/>
        </w:rPr>
        <w:t xml:space="preserve">Begrundelse for </w:t>
      </w:r>
      <w:proofErr w:type="spellStart"/>
      <w:r w:rsidRPr="00A225B2">
        <w:rPr>
          <w:rFonts w:ascii="Times New Roman" w:hAnsi="Times New Roman"/>
          <w:b/>
          <w:bCs/>
          <w:color w:val="auto"/>
          <w:sz w:val="24"/>
          <w:szCs w:val="24"/>
        </w:rPr>
        <w:t>reviewet</w:t>
      </w:r>
      <w:proofErr w:type="spellEnd"/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Kontinuerlig glukosemonitorering (CGM) muliggør real-time eller næsten real-time overvågning af </w:t>
      </w:r>
      <w:proofErr w:type="spellStart"/>
      <w:r w:rsidRPr="00A225B2">
        <w:rPr>
          <w:rFonts w:ascii="Times New Roman" w:hAnsi="Times New Roman"/>
          <w:sz w:val="24"/>
          <w:szCs w:val="24"/>
        </w:rPr>
        <w:t>interstitielle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glukoseniveauer. Mens CGM er veletableret i behandlingen af type 1-diabetes, er dens rolle i håndteringen af type 2-diabetes – særligt blandt personer, der ikke er i intensiv insulinbehandling – endnu ikke fuldt afklaret.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I takt med at CGM-teknologier bliver mere tilgængelige og anvendes i bredere grupper af personer med type 2-diabetes, er der behov for en grundig vurdering af deres kliniske effekt og betydning for patientrelevante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outcomes</w:t>
      </w:r>
      <w:proofErr w:type="spellEnd"/>
      <w:r w:rsidRPr="00A225B2">
        <w:rPr>
          <w:rFonts w:ascii="Times New Roman" w:hAnsi="Times New Roman"/>
          <w:sz w:val="24"/>
          <w:szCs w:val="24"/>
        </w:rPr>
        <w:t>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Tidligere studier og systematiske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har undersøgt CGM i blandede eller meget specifikke populationer, ofte med metodologiske begrænsninger eller snævre fokusområder. Formålet med dette systematiske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A225B2">
        <w:rPr>
          <w:rFonts w:ascii="Times New Roman" w:hAnsi="Times New Roman"/>
          <w:sz w:val="24"/>
          <w:szCs w:val="24"/>
        </w:rPr>
        <w:t>meta</w:t>
      </w:r>
      <w:proofErr w:type="spellEnd"/>
      <w:r w:rsidRPr="00A225B2">
        <w:rPr>
          <w:rFonts w:ascii="Times New Roman" w:hAnsi="Times New Roman"/>
          <w:sz w:val="24"/>
          <w:szCs w:val="24"/>
        </w:rPr>
        <w:t>-analyse er derfor at sammenfatte evidens fra randomiserede kontrollerede studier (</w:t>
      </w:r>
      <w:proofErr w:type="spellStart"/>
      <w:r w:rsidRPr="00A225B2">
        <w:rPr>
          <w:rFonts w:ascii="Times New Roman" w:hAnsi="Times New Roman"/>
          <w:sz w:val="24"/>
          <w:szCs w:val="24"/>
        </w:rPr>
        <w:t>RCT’er</w:t>
      </w:r>
      <w:proofErr w:type="spellEnd"/>
      <w:r w:rsidRPr="00A225B2">
        <w:rPr>
          <w:rFonts w:ascii="Times New Roman" w:hAnsi="Times New Roman"/>
          <w:sz w:val="24"/>
          <w:szCs w:val="24"/>
        </w:rPr>
        <w:t>), der undersøger effekt og sikkerhed af CGM hos ikke-gravide voksne med type 2-diabetes.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Denne evidenssammenfatning er bestilt af European Association for the </w:t>
      </w:r>
      <w:proofErr w:type="spellStart"/>
      <w:r w:rsidRPr="00A225B2">
        <w:rPr>
          <w:rFonts w:ascii="Times New Roman" w:hAnsi="Times New Roman"/>
          <w:sz w:val="24"/>
          <w:szCs w:val="24"/>
        </w:rPr>
        <w:t>Study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of Diabetes (EASD) med henblik på at understøtte evidensbaserede anbefalinger til udvikling af kliniske retningslinjer for anvendelse af CGM ved type 2-diabetes.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 xml:space="preserve">Formål med </w:t>
      </w:r>
      <w:proofErr w:type="spellStart"/>
      <w:r w:rsidRPr="00A225B2">
        <w:rPr>
          <w:rFonts w:ascii="Times New Roman" w:hAnsi="Times New Roman"/>
          <w:b/>
          <w:bCs/>
          <w:sz w:val="24"/>
          <w:szCs w:val="24"/>
        </w:rPr>
        <w:t>reviewet</w:t>
      </w:r>
      <w:proofErr w:type="spellEnd"/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Formålet med dette systematiske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A225B2">
        <w:rPr>
          <w:rFonts w:ascii="Times New Roman" w:hAnsi="Times New Roman"/>
          <w:sz w:val="24"/>
          <w:szCs w:val="24"/>
        </w:rPr>
        <w:t>meta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-analyse er at vurdere effekten af CGM på glykæmiske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og patientvigtige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hos personer med type 2-diabetes.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Guideline Development Panel (GDP) har gennem iterative drøftelser formuleret foreløbige kliniske spørgsmål, som danner grundlag for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reviewet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. Hvert spørgsmål er oversat til PICO-formatet (Population, Intervention, </w:t>
      </w:r>
      <w:proofErr w:type="spellStart"/>
      <w:r w:rsidRPr="00A225B2">
        <w:rPr>
          <w:rFonts w:ascii="Times New Roman" w:hAnsi="Times New Roman"/>
          <w:sz w:val="24"/>
          <w:szCs w:val="24"/>
        </w:rPr>
        <w:t>Comparator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Outcomes</w:t>
      </w:r>
      <w:proofErr w:type="spellEnd"/>
      <w:r w:rsidRPr="00A225B2">
        <w:rPr>
          <w:rFonts w:ascii="Times New Roman" w:hAnsi="Times New Roman"/>
          <w:sz w:val="24"/>
          <w:szCs w:val="24"/>
        </w:rPr>
        <w:t>):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Q1: Effekt af CGM i den samlede population af personer med type 2-diabetes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Q2: Effekt af CGM stratificeret efter baggrundsbehandling for blodsukkersænkning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Q3: Effekt af CGM stratificeret efter alder eller diabetesvarighed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Q4: Effekt af CGM stratificeret efter type af CGM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Nøgleord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Type 2-diabetes; kontinuerlig glukosemonitorering; </w:t>
      </w:r>
      <w:proofErr w:type="spellStart"/>
      <w:r w:rsidRPr="00A225B2">
        <w:rPr>
          <w:rFonts w:ascii="Times New Roman" w:hAnsi="Times New Roman"/>
          <w:sz w:val="24"/>
          <w:szCs w:val="24"/>
        </w:rPr>
        <w:t>egenmåling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af blodsukker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Lande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Østrig; Danmark; Tyskland; Grækenland; Italien; Polen; Schweiz; Storbritannien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00B0F0"/>
          <w:sz w:val="24"/>
          <w:szCs w:val="24"/>
        </w:rPr>
        <w:t>INKLUSIONS- OG EKSKLUSIONSKRITERIER</w:t>
      </w: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Population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Inkluderet: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Voksne med type 2-diabetes uanset diabetesvarighed eller insulinbehandling.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Ekskluderet: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Studier af andre typer diabetes, prædiabetes eller gravide kvinder.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Intervention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Inkluderet: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Alle former for CGM, herunder real-time CGM, </w:t>
      </w:r>
      <w:proofErr w:type="spellStart"/>
      <w:r w:rsidRPr="00A225B2">
        <w:rPr>
          <w:rFonts w:ascii="Times New Roman" w:hAnsi="Times New Roman"/>
          <w:sz w:val="24"/>
          <w:szCs w:val="24"/>
        </w:rPr>
        <w:t>intermittently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scanned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CGM eller </w:t>
      </w:r>
      <w:proofErr w:type="spellStart"/>
      <w:r w:rsidRPr="00A225B2">
        <w:rPr>
          <w:rFonts w:ascii="Times New Roman" w:hAnsi="Times New Roman"/>
          <w:sz w:val="24"/>
          <w:szCs w:val="24"/>
        </w:rPr>
        <w:t>masked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CGM, der er godkendt af FDA eller CE-mærket i Europa. CGM kombineret med supplerende støtte såsom fjernkonsultation, klinisk feedback, digitale sundhedsapps, egenomsorgsundervisning, træning eller ernæringsvejledning tillades.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Ekskluderet:</w:t>
      </w:r>
    </w:p>
    <w:p w:rsid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Studier af kontinuerlig ketonmonitorering eller pumpebehandling med CGM-integration.</w:t>
      </w:r>
    </w:p>
    <w:p w:rsid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Sammenligningsgruppe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Inkluderet: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Sædvanlig behandling, konventionel SMBG via fingerprik, ingen glukosemonitorering eller </w:t>
      </w:r>
      <w:proofErr w:type="spellStart"/>
      <w:r w:rsidRPr="00A225B2">
        <w:rPr>
          <w:rFonts w:ascii="Times New Roman" w:hAnsi="Times New Roman"/>
          <w:sz w:val="24"/>
          <w:szCs w:val="24"/>
        </w:rPr>
        <w:t>masked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CGM.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Studiedesign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Kun randomiserede studier inkluderes.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Inkluderet: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Parallelgruppe- og </w:t>
      </w:r>
      <w:proofErr w:type="spellStart"/>
      <w:r w:rsidRPr="00A225B2">
        <w:rPr>
          <w:rFonts w:ascii="Times New Roman" w:hAnsi="Times New Roman"/>
          <w:sz w:val="24"/>
          <w:szCs w:val="24"/>
        </w:rPr>
        <w:t>crossover-RCT’er</w:t>
      </w:r>
      <w:proofErr w:type="spellEnd"/>
      <w:r w:rsidRPr="00A225B2">
        <w:rPr>
          <w:rFonts w:ascii="Times New Roman" w:hAnsi="Times New Roman"/>
          <w:sz w:val="24"/>
          <w:szCs w:val="24"/>
        </w:rPr>
        <w:t>.</w:t>
      </w: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lastRenderedPageBreak/>
        <w:t>Ekskluderet: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Ikke-randomiserede studier, konferenceabstracts og protokoller.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Kontekst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Kun ambulante patienter inkluderes. Studier udført i hospitalsregi ekskluderes.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Studier med blandede populationer kan inkluderes, hvis resultater for målgruppen rapporteres separat.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TIDSPLAN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Første indsendelse til PROSPERO: 22. november 2025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Startdato: 1. september 2025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Slutdato: 31. marts 2026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Registreringsdato i PROSPERO: 9. december 2025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Den fulde protokol er uploadet til PROSPERO og offentliggøres efter afslutning af </w:t>
      </w:r>
      <w:proofErr w:type="spellStart"/>
      <w:r w:rsidRPr="00A225B2">
        <w:rPr>
          <w:rFonts w:ascii="Times New Roman" w:hAnsi="Times New Roman"/>
          <w:sz w:val="24"/>
          <w:szCs w:val="24"/>
        </w:rPr>
        <w:t>reviewet</w:t>
      </w:r>
      <w:proofErr w:type="spellEnd"/>
      <w:r w:rsidRPr="00A225B2">
        <w:rPr>
          <w:rFonts w:ascii="Times New Roman" w:hAnsi="Times New Roman"/>
          <w:sz w:val="24"/>
          <w:szCs w:val="24"/>
        </w:rPr>
        <w:t>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SØGNING OG SCREENING</w:t>
      </w:r>
    </w:p>
    <w:p w:rsid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Kun publicerede studier inkluderes.</w:t>
      </w:r>
    </w:p>
    <w:p w:rsid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Databaser: CENTRAL og MEDLINE.</w:t>
      </w:r>
    </w:p>
    <w:p w:rsid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Sprog: Kun engelsksprogede studier.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Ingen tidsbegrænsning for søgning.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Screening foretages uafhængigt af mindst to personer. Uenigheder afgøres af en </w:t>
      </w:r>
      <w:proofErr w:type="spellStart"/>
      <w:r w:rsidRPr="00A225B2">
        <w:rPr>
          <w:rFonts w:ascii="Times New Roman" w:hAnsi="Times New Roman"/>
          <w:sz w:val="24"/>
          <w:szCs w:val="24"/>
        </w:rPr>
        <w:t>seniorreviewer</w:t>
      </w:r>
      <w:proofErr w:type="spellEnd"/>
      <w:r w:rsidRPr="00A225B2">
        <w:rPr>
          <w:rFonts w:ascii="Times New Roman" w:hAnsi="Times New Roman"/>
          <w:sz w:val="24"/>
          <w:szCs w:val="24"/>
        </w:rPr>
        <w:t>. PRISMA-flowdiagram anvendes.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DATAINDSAMLING OG KVALITETSVURDERING</w:t>
      </w:r>
    </w:p>
    <w:p w:rsid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Data ekstraheres uafhængigt af mindst to personer.</w:t>
      </w:r>
    </w:p>
    <w:p w:rsid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Bias vurderes med Cochrane RoB-2.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Evidensens sikkerhed vurderes med GRADE.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OUTCOMES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Primært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</w:t>
      </w:r>
      <w:proofErr w:type="spellEnd"/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Absolut ændring i HbA1c (%-point)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Sekundære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(udvalg)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Tid i målområde (TIR)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Hypoglykæmi (inkl. TBR og svær hypoglykæmi)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Ændring i kropsvægt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Livskvalitet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Patientrapporterede </w:t>
      </w:r>
      <w:proofErr w:type="spellStart"/>
      <w:r w:rsidRPr="00A225B2">
        <w:rPr>
          <w:rFonts w:ascii="Times New Roman" w:hAnsi="Times New Roman"/>
          <w:sz w:val="24"/>
          <w:szCs w:val="24"/>
        </w:rPr>
        <w:t>outcomes</w:t>
      </w:r>
      <w:proofErr w:type="spellEnd"/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Ændring i insulindosis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Mikro- og makrovaskulære komplikationer</w:t>
      </w:r>
    </w:p>
    <w:p w:rsidR="00A225B2" w:rsidRPr="00A225B2" w:rsidRDefault="00A225B2" w:rsidP="00A225B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Reaktioner ved sensor-indsættelse</w:t>
      </w:r>
    </w:p>
    <w:p w:rsid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lastRenderedPageBreak/>
        <w:t>DATAANALYSE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Meta-analyser udføres med </w:t>
      </w:r>
      <w:proofErr w:type="spellStart"/>
      <w:r w:rsidRPr="00A225B2">
        <w:rPr>
          <w:rFonts w:ascii="Times New Roman" w:hAnsi="Times New Roman"/>
          <w:sz w:val="24"/>
          <w:szCs w:val="24"/>
        </w:rPr>
        <w:t>random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5B2">
        <w:rPr>
          <w:rFonts w:ascii="Times New Roman" w:hAnsi="Times New Roman"/>
          <w:sz w:val="24"/>
          <w:szCs w:val="24"/>
        </w:rPr>
        <w:t>effects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-modeller. Heterogenitet vurderes med I²-statistik. Subgruppe- og </w:t>
      </w:r>
      <w:proofErr w:type="spellStart"/>
      <w:r w:rsidRPr="00A225B2">
        <w:rPr>
          <w:rFonts w:ascii="Times New Roman" w:hAnsi="Times New Roman"/>
          <w:sz w:val="24"/>
          <w:szCs w:val="24"/>
        </w:rPr>
        <w:t>meta</w:t>
      </w:r>
      <w:proofErr w:type="spellEnd"/>
      <w:r w:rsidRPr="00A225B2">
        <w:rPr>
          <w:rFonts w:ascii="Times New Roman" w:hAnsi="Times New Roman"/>
          <w:sz w:val="24"/>
          <w:szCs w:val="24"/>
        </w:rPr>
        <w:t>-regressionsanalyser planlægges.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STATUS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proofErr w:type="spellStart"/>
      <w:r w:rsidRPr="00A225B2">
        <w:rPr>
          <w:rFonts w:ascii="Times New Roman" w:hAnsi="Times New Roman"/>
          <w:sz w:val="24"/>
          <w:szCs w:val="24"/>
        </w:rPr>
        <w:t>Reviewet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er planlagt/igangværende. Resultater vil blive publiceret.</w:t>
      </w:r>
    </w:p>
    <w:p w:rsidR="00A225B2" w:rsidRPr="00A225B2" w:rsidRDefault="00A225B2" w:rsidP="00A225B2">
      <w:pPr>
        <w:pStyle w:val="p2"/>
        <w:rPr>
          <w:rFonts w:ascii="Times New Roman" w:hAnsi="Times New Roman"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  <w:r w:rsidRPr="00A225B2">
        <w:rPr>
          <w:rFonts w:ascii="Times New Roman" w:hAnsi="Times New Roman"/>
          <w:b/>
          <w:bCs/>
          <w:sz w:val="24"/>
          <w:szCs w:val="24"/>
        </w:rPr>
        <w:t>FINANSIERING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 xml:space="preserve">European Association for the </w:t>
      </w:r>
      <w:proofErr w:type="spellStart"/>
      <w:r w:rsidRPr="00A225B2">
        <w:rPr>
          <w:rFonts w:ascii="Times New Roman" w:hAnsi="Times New Roman"/>
          <w:sz w:val="24"/>
          <w:szCs w:val="24"/>
        </w:rPr>
        <w:t>Study</w:t>
      </w:r>
      <w:proofErr w:type="spellEnd"/>
      <w:r w:rsidRPr="00A225B2">
        <w:rPr>
          <w:rFonts w:ascii="Times New Roman" w:hAnsi="Times New Roman"/>
          <w:sz w:val="24"/>
          <w:szCs w:val="24"/>
        </w:rPr>
        <w:t xml:space="preserve"> of Diabetes (EASD)</w:t>
      </w: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sz w:val="24"/>
          <w:szCs w:val="24"/>
        </w:rPr>
      </w:pPr>
    </w:p>
    <w:p w:rsidR="00A225B2" w:rsidRPr="00A225B2" w:rsidRDefault="00A225B2" w:rsidP="00A225B2">
      <w:pPr>
        <w:pStyle w:val="p1"/>
        <w:rPr>
          <w:rFonts w:ascii="Times New Roman" w:hAnsi="Times New Roman"/>
          <w:b/>
          <w:bCs/>
          <w:color w:val="5B9BD5" w:themeColor="accent5"/>
          <w:sz w:val="24"/>
          <w:szCs w:val="24"/>
        </w:rPr>
      </w:pPr>
      <w:r w:rsidRPr="00A225B2">
        <w:rPr>
          <w:rFonts w:ascii="Times New Roman" w:hAnsi="Times New Roman"/>
          <w:b/>
          <w:bCs/>
          <w:color w:val="5B9BD5" w:themeColor="accent5"/>
          <w:sz w:val="24"/>
          <w:szCs w:val="24"/>
        </w:rPr>
        <w:t>ANSVARSFRASKRIVELSE</w:t>
      </w:r>
    </w:p>
    <w:p w:rsidR="00A225B2" w:rsidRPr="00A225B2" w:rsidRDefault="00A225B2" w:rsidP="00A225B2">
      <w:pPr>
        <w:pStyle w:val="p1"/>
        <w:rPr>
          <w:rFonts w:ascii="Times New Roman" w:hAnsi="Times New Roman"/>
          <w:sz w:val="24"/>
          <w:szCs w:val="24"/>
        </w:rPr>
      </w:pPr>
      <w:r w:rsidRPr="00A225B2">
        <w:rPr>
          <w:rFonts w:ascii="Times New Roman" w:hAnsi="Times New Roman"/>
          <w:sz w:val="24"/>
          <w:szCs w:val="24"/>
        </w:rPr>
        <w:t>PROSPERO foretager ikke fagfællebedømmelse af registreringer. Indholdet er reviewteamets ansvar.</w:t>
      </w:r>
    </w:p>
    <w:p w:rsidR="00E83C64" w:rsidRPr="00A225B2" w:rsidRDefault="00E83C64">
      <w:pPr>
        <w:rPr>
          <w:rFonts w:ascii="Times New Roman" w:hAnsi="Times New Roman" w:cs="Times New Roman"/>
        </w:rPr>
      </w:pPr>
    </w:p>
    <w:sectPr w:rsidR="00E83C64" w:rsidRPr="00A225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6C1"/>
    <w:multiLevelType w:val="hybridMultilevel"/>
    <w:tmpl w:val="EBAE245E"/>
    <w:lvl w:ilvl="0" w:tplc="C9AED5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D4119"/>
    <w:multiLevelType w:val="hybridMultilevel"/>
    <w:tmpl w:val="FEC2E008"/>
    <w:lvl w:ilvl="0" w:tplc="0706B630">
      <w:start w:val="7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23043">
    <w:abstractNumId w:val="1"/>
  </w:num>
  <w:num w:numId="2" w16cid:durableId="118583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B2"/>
    <w:rsid w:val="000E6FE0"/>
    <w:rsid w:val="00981DE2"/>
    <w:rsid w:val="00A225B2"/>
    <w:rsid w:val="00C34664"/>
    <w:rsid w:val="00E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B2A33"/>
  <w15:chartTrackingRefBased/>
  <w15:docId w15:val="{99EA2BA9-E02E-D34F-83F6-31B94F3D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2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2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2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2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2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2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2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25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2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2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25B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25B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25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25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25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25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2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25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2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2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25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25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25B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2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25B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25B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225B2"/>
    <w:rPr>
      <w:rFonts w:ascii="Helvetica Neue" w:eastAsia="Times New Roman" w:hAnsi="Helvetica Neue" w:cs="Times New Roman"/>
      <w:color w:val="000000"/>
      <w:sz w:val="21"/>
      <w:szCs w:val="21"/>
      <w:lang w:eastAsia="da-DK"/>
    </w:rPr>
  </w:style>
  <w:style w:type="paragraph" w:customStyle="1" w:styleId="p2">
    <w:name w:val="p2"/>
    <w:basedOn w:val="Normal"/>
    <w:rsid w:val="00A225B2"/>
    <w:rPr>
      <w:rFonts w:ascii="Helvetica Neue" w:eastAsia="Times New Roman" w:hAnsi="Helvetica Neue" w:cs="Times New Roman"/>
      <w:color w:val="000000"/>
      <w:sz w:val="21"/>
      <w:szCs w:val="21"/>
      <w:lang w:eastAsia="da-DK"/>
    </w:rPr>
  </w:style>
  <w:style w:type="character" w:customStyle="1" w:styleId="apple-tab-span">
    <w:name w:val="apple-tab-span"/>
    <w:basedOn w:val="Standardskrifttypeiafsnit"/>
    <w:rsid w:val="00A225B2"/>
  </w:style>
  <w:style w:type="character" w:styleId="Hyperlink">
    <w:name w:val="Hyperlink"/>
    <w:basedOn w:val="Standardskrifttypeiafsnit"/>
    <w:uiPriority w:val="99"/>
    <w:unhideWhenUsed/>
    <w:rsid w:val="00A225B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25B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22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d.york.ac.uk/prospero/view/CRD420251237934/1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855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Stenz Petersen HareskovSkole</dc:creator>
  <cp:keywords/>
  <dc:description/>
  <cp:lastModifiedBy>Christian Stenz Petersen HareskovSkole</cp:lastModifiedBy>
  <cp:revision>1</cp:revision>
  <dcterms:created xsi:type="dcterms:W3CDTF">2026-01-08T18:44:00Z</dcterms:created>
  <dcterms:modified xsi:type="dcterms:W3CDTF">2026-01-08T19:06:00Z</dcterms:modified>
</cp:coreProperties>
</file>